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color w:val="FF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color w:val="000000"/>
          <w:szCs w:val="32"/>
        </w:rPr>
      </w:pPr>
      <w:r>
        <w:rPr>
          <w:rFonts w:hint="eastAsia"/>
          <w:color w:val="000000"/>
          <w:sz w:val="44"/>
          <w:szCs w:val="44"/>
        </w:rPr>
        <w:t>山西晋通电力有限公司物资类竞争性谈判项目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color w:val="000000"/>
          <w:sz w:val="44"/>
          <w:szCs w:val="44"/>
        </w:rPr>
      </w:pPr>
      <w:r>
        <w:rPr>
          <w:rFonts w:hint="eastAsia"/>
          <w:color w:val="000000"/>
          <w:sz w:val="44"/>
          <w:szCs w:val="44"/>
          <w:lang w:val="en-US" w:eastAsia="zh-CN"/>
        </w:rPr>
        <w:t>采购</w:t>
      </w:r>
      <w:r>
        <w:rPr>
          <w:rFonts w:hint="eastAsia"/>
          <w:color w:val="000000"/>
          <w:sz w:val="44"/>
          <w:szCs w:val="44"/>
        </w:rPr>
        <w:t>编号：052210X1-SXJT-WZ064D</w:t>
      </w:r>
      <w:r>
        <w:rPr>
          <w:rFonts w:hint="eastAsia"/>
          <w:color w:val="000000"/>
          <w:sz w:val="44"/>
          <w:szCs w:val="4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小标宋_GBK" w:eastAsiaTheme="minorEastAsia"/>
          <w:sz w:val="44"/>
          <w:lang w:val="en-US" w:eastAsia="zh-CN"/>
        </w:rPr>
      </w:pPr>
      <w:r>
        <w:rPr>
          <w:rFonts w:hint="eastAsia"/>
          <w:color w:val="000000"/>
          <w:sz w:val="44"/>
          <w:szCs w:val="44"/>
        </w:rPr>
        <w:t>否决原因</w:t>
      </w:r>
      <w:r>
        <w:rPr>
          <w:rFonts w:hint="eastAsia"/>
          <w:color w:val="000000"/>
          <w:sz w:val="44"/>
          <w:szCs w:val="44"/>
          <w:lang w:val="en-US" w:eastAsia="zh-CN"/>
        </w:rPr>
        <w:t>公示</w:t>
      </w:r>
    </w:p>
    <w:p>
      <w:pPr>
        <w:ind w:firstLine="643"/>
        <w:jc w:val="center"/>
        <w:rPr>
          <w:rFonts w:ascii="仿宋_GB2312" w:eastAsia="仿宋_GB2312"/>
          <w:b/>
        </w:rPr>
      </w:pPr>
    </w:p>
    <w:p>
      <w:pPr>
        <w:adjustRightInd w:val="0"/>
        <w:snapToGrid w:val="0"/>
        <w:spacing w:line="580" w:lineRule="exact"/>
        <w:jc w:val="left"/>
        <w:rPr>
          <w:rFonts w:eastAsia="仿宋_GB2312"/>
          <w:sz w:val="30"/>
        </w:rPr>
      </w:pPr>
      <w:r>
        <w:rPr>
          <w:rFonts w:hint="eastAsia" w:eastAsia="仿宋_GB2312"/>
          <w:sz w:val="30"/>
        </w:rPr>
        <w:t>各相关</w:t>
      </w:r>
      <w:r>
        <w:rPr>
          <w:rFonts w:hint="eastAsia" w:eastAsia="仿宋_GB2312"/>
          <w:sz w:val="30"/>
          <w:lang w:val="en-US" w:eastAsia="zh-CN"/>
        </w:rPr>
        <w:t>应答</w:t>
      </w:r>
      <w:r>
        <w:rPr>
          <w:rFonts w:hint="eastAsia" w:eastAsia="仿宋_GB2312"/>
          <w:sz w:val="30"/>
        </w:rPr>
        <w:t>人：</w:t>
      </w:r>
    </w:p>
    <w:p>
      <w:pPr>
        <w:adjustRightInd w:val="0"/>
        <w:snapToGrid w:val="0"/>
        <w:spacing w:line="580" w:lineRule="exact"/>
        <w:ind w:firstLine="600"/>
        <w:jc w:val="left"/>
        <w:rPr>
          <w:rFonts w:eastAsia="仿宋_GB2312"/>
          <w:sz w:val="30"/>
        </w:rPr>
      </w:pPr>
      <w:r>
        <w:rPr>
          <w:rFonts w:hint="eastAsia" w:eastAsia="仿宋_GB2312"/>
          <w:sz w:val="30"/>
        </w:rPr>
        <w:t>山西晋通电力有限公司物资类竞争性谈判项目招标采购工作已完成，现将招评标有关主要否决原因公示如下。</w:t>
      </w:r>
    </w:p>
    <w:p>
      <w:pPr>
        <w:ind w:left="640"/>
        <w:rPr>
          <w:rFonts w:eastAsia="仿宋_GB2312"/>
          <w:sz w:val="30"/>
        </w:rPr>
      </w:pPr>
      <w:bookmarkStart w:id="0" w:name="未进入详评原因表"/>
      <w:bookmarkEnd w:id="0"/>
      <w:r>
        <w:rPr>
          <w:rFonts w:hint="eastAsia" w:eastAsia="仿宋_GB2312"/>
          <w:sz w:val="30"/>
        </w:rPr>
        <w:t>1．未进入详评原因</w:t>
      </w:r>
    </w:p>
    <w:tbl>
      <w:tblPr>
        <w:tblStyle w:val="4"/>
        <w:tblW w:w="0" w:type="auto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4"/>
        <w:gridCol w:w="2385"/>
        <w:gridCol w:w="2680"/>
        <w:gridCol w:w="2771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  <w:jc w:val="center"/>
        </w:trPr>
        <w:tc>
          <w:tcPr>
            <w:tcW w:w="894" w:type="dxa"/>
            <w:noWrap/>
            <w:vAlign w:val="center"/>
          </w:tcPr>
          <w:p>
            <w:pPr>
              <w:spacing w:beforeAutospacing="1" w:afterAutospacing="1"/>
              <w:rPr>
                <w:rFonts w:hAnsi="华文仿宋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序号</w:t>
            </w:r>
          </w:p>
        </w:tc>
        <w:tc>
          <w:tcPr>
            <w:tcW w:w="2385" w:type="dxa"/>
            <w:noWrap/>
            <w:vAlign w:val="center"/>
          </w:tcPr>
          <w:p>
            <w:pPr>
              <w:spacing w:beforeAutospacing="1" w:afterAutospacing="1"/>
              <w:jc w:val="center"/>
              <w:rPr>
                <w:rFonts w:hAnsi="华文仿宋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未进入详评原因</w:t>
            </w:r>
          </w:p>
        </w:tc>
        <w:tc>
          <w:tcPr>
            <w:tcW w:w="2680" w:type="dxa"/>
            <w:noWrap/>
            <w:vAlign w:val="center"/>
          </w:tcPr>
          <w:p>
            <w:pPr>
              <w:spacing w:beforeAutospacing="1" w:afterAutospacing="1"/>
              <w:jc w:val="center"/>
              <w:rPr>
                <w:rFonts w:hAnsi="华文仿宋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未实质响应的投标人数量</w:t>
            </w:r>
          </w:p>
        </w:tc>
        <w:tc>
          <w:tcPr>
            <w:tcW w:w="2771" w:type="dxa"/>
            <w:noWrap/>
            <w:vAlign w:val="center"/>
          </w:tcPr>
          <w:p>
            <w:pPr>
              <w:jc w:val="center"/>
              <w:rPr>
                <w:rFonts w:hAnsi="华文仿宋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未实质响应的投标文件份数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  <w:jc w:val="center"/>
        </w:trPr>
        <w:tc>
          <w:tcPr>
            <w:tcW w:w="894" w:type="dxa"/>
            <w:noWrap/>
            <w:vAlign w:val="center"/>
          </w:tcPr>
          <w:p>
            <w:pPr>
              <w:spacing w:beforeAutospacing="1" w:afterAutospacing="1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1</w:t>
            </w:r>
          </w:p>
        </w:tc>
        <w:tc>
          <w:tcPr>
            <w:tcW w:w="2385" w:type="dxa"/>
            <w:noWrap/>
            <w:vAlign w:val="center"/>
          </w:tcPr>
          <w:p>
            <w:pPr>
              <w:spacing w:beforeAutospacing="1" w:afterAutospacing="1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法定否决</w:t>
            </w:r>
          </w:p>
        </w:tc>
        <w:tc>
          <w:tcPr>
            <w:tcW w:w="2680" w:type="dxa"/>
            <w:noWrap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771" w:type="dxa"/>
            <w:noWrap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  <w:jc w:val="center"/>
        </w:trPr>
        <w:tc>
          <w:tcPr>
            <w:tcW w:w="894" w:type="dxa"/>
            <w:noWrap/>
            <w:vAlign w:val="center"/>
          </w:tcPr>
          <w:p>
            <w:pPr>
              <w:spacing w:beforeAutospacing="1" w:afterAutospacing="1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2</w:t>
            </w:r>
          </w:p>
        </w:tc>
        <w:tc>
          <w:tcPr>
            <w:tcW w:w="2385" w:type="dxa"/>
            <w:noWrap/>
            <w:vAlign w:val="center"/>
          </w:tcPr>
          <w:p>
            <w:pPr>
              <w:spacing w:beforeAutospacing="1" w:afterAutospacing="1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格式内容</w:t>
            </w:r>
          </w:p>
        </w:tc>
        <w:tc>
          <w:tcPr>
            <w:tcW w:w="2680" w:type="dxa"/>
            <w:noWrap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771" w:type="dxa"/>
            <w:noWrap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  <w:jc w:val="center"/>
        </w:trPr>
        <w:tc>
          <w:tcPr>
            <w:tcW w:w="894" w:type="dxa"/>
            <w:noWrap/>
            <w:vAlign w:val="center"/>
          </w:tcPr>
          <w:p>
            <w:pPr>
              <w:spacing w:beforeAutospacing="1" w:afterAutospacing="1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3</w:t>
            </w:r>
          </w:p>
        </w:tc>
        <w:tc>
          <w:tcPr>
            <w:tcW w:w="2385" w:type="dxa"/>
            <w:noWrap/>
            <w:vAlign w:val="center"/>
          </w:tcPr>
          <w:p>
            <w:pPr>
              <w:spacing w:beforeAutospacing="1" w:afterAutospacing="1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资格不符</w:t>
            </w:r>
          </w:p>
        </w:tc>
        <w:tc>
          <w:tcPr>
            <w:tcW w:w="2680" w:type="dxa"/>
            <w:noWrap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771" w:type="dxa"/>
            <w:noWrap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  <w:jc w:val="center"/>
        </w:trPr>
        <w:tc>
          <w:tcPr>
            <w:tcW w:w="894" w:type="dxa"/>
            <w:noWrap/>
            <w:vAlign w:val="center"/>
          </w:tcPr>
          <w:p>
            <w:pPr>
              <w:spacing w:beforeAutospacing="1" w:afterAutospacing="1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4</w:t>
            </w:r>
          </w:p>
        </w:tc>
        <w:tc>
          <w:tcPr>
            <w:tcW w:w="2385" w:type="dxa"/>
            <w:noWrap/>
            <w:vAlign w:val="center"/>
          </w:tcPr>
          <w:p>
            <w:pPr>
              <w:spacing w:beforeAutospacing="1" w:afterAutospacing="1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实质不符</w:t>
            </w:r>
          </w:p>
        </w:tc>
        <w:tc>
          <w:tcPr>
            <w:tcW w:w="2680" w:type="dxa"/>
            <w:noWrap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2771" w:type="dxa"/>
            <w:noWrap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/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  <w:jc w:val="center"/>
        </w:trPr>
        <w:tc>
          <w:tcPr>
            <w:tcW w:w="894" w:type="dxa"/>
            <w:noWrap/>
            <w:vAlign w:val="center"/>
          </w:tcPr>
          <w:p>
            <w:pPr>
              <w:spacing w:beforeAutospacing="1" w:afterAutospacing="1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5</w:t>
            </w:r>
          </w:p>
        </w:tc>
        <w:tc>
          <w:tcPr>
            <w:tcW w:w="2385" w:type="dxa"/>
            <w:noWrap/>
            <w:vAlign w:val="center"/>
          </w:tcPr>
          <w:p>
            <w:pPr>
              <w:spacing w:beforeAutospacing="1" w:afterAutospacing="1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价格不满足要求</w:t>
            </w:r>
          </w:p>
        </w:tc>
        <w:tc>
          <w:tcPr>
            <w:tcW w:w="2680" w:type="dxa"/>
            <w:noWrap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2771" w:type="dxa"/>
            <w:noWrap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bookmarkStart w:id="1" w:name="_GoBack"/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/</w:t>
            </w:r>
          </w:p>
          <w:bookmarkEnd w:id="1"/>
        </w:tc>
      </w:tr>
    </w:tbl>
    <w:p>
      <w:pPr>
        <w:ind w:left="1848" w:firstLine="643"/>
        <w:rPr>
          <w:b/>
          <w:szCs w:val="32"/>
        </w:rPr>
      </w:pPr>
    </w:p>
    <w:p>
      <w:pPr>
        <w:spacing w:line="360" w:lineRule="auto"/>
        <w:ind w:right="640" w:firstLine="600"/>
        <w:jc w:val="left"/>
        <w:rPr>
          <w:rFonts w:eastAsia="仿宋_GB2312"/>
          <w:sz w:val="30"/>
        </w:rPr>
      </w:pPr>
      <w:r>
        <w:rPr>
          <w:rFonts w:hint="eastAsia" w:eastAsia="仿宋_GB2312"/>
          <w:sz w:val="30"/>
        </w:rPr>
        <w:t>特此公示。</w:t>
      </w:r>
    </w:p>
    <w:p>
      <w:pPr>
        <w:ind w:right="480" w:firstLine="600"/>
        <w:jc w:val="right"/>
        <w:rPr>
          <w:rFonts w:eastAsia="仿宋_GB2312"/>
          <w:sz w:val="30"/>
        </w:rPr>
      </w:pPr>
      <w:r>
        <w:rPr>
          <w:rFonts w:eastAsia="仿宋_GB2312"/>
          <w:sz w:val="30"/>
        </w:rPr>
        <w:t>招标代理机构</w:t>
      </w:r>
      <w:r>
        <w:rPr>
          <w:rFonts w:hint="eastAsia" w:eastAsia="仿宋_GB2312"/>
          <w:sz w:val="30"/>
        </w:rPr>
        <w:t xml:space="preserve">                                                                        </w:t>
      </w:r>
      <w:r>
        <w:rPr>
          <w:rFonts w:hint="eastAsia" w:eastAsia="仿宋_GB2312"/>
          <w:sz w:val="30"/>
          <w:lang w:val="en-US" w:eastAsia="zh-CN"/>
        </w:rPr>
        <w:t>2022</w:t>
      </w:r>
      <w:r>
        <w:rPr>
          <w:rFonts w:hint="eastAsia" w:eastAsia="仿宋_GB2312"/>
          <w:sz w:val="30"/>
        </w:rPr>
        <w:t>年</w:t>
      </w:r>
      <w:r>
        <w:rPr>
          <w:rFonts w:hint="eastAsia" w:eastAsia="仿宋_GB2312"/>
          <w:sz w:val="30"/>
          <w:lang w:val="en-US" w:eastAsia="zh-CN"/>
        </w:rPr>
        <w:t>11</w:t>
      </w:r>
      <w:r>
        <w:rPr>
          <w:rFonts w:hint="eastAsia" w:eastAsia="仿宋_GB2312"/>
          <w:sz w:val="30"/>
        </w:rPr>
        <w:t>月</w:t>
      </w:r>
      <w:r>
        <w:rPr>
          <w:rFonts w:hint="eastAsia" w:eastAsia="仿宋_GB2312"/>
          <w:sz w:val="30"/>
          <w:lang w:val="en-US" w:eastAsia="zh-CN"/>
        </w:rPr>
        <w:t>19</w:t>
      </w:r>
      <w:r>
        <w:rPr>
          <w:rFonts w:hint="eastAsia" w:eastAsia="仿宋_GB2312"/>
          <w:sz w:val="30"/>
        </w:rPr>
        <w:t>日</w:t>
      </w:r>
    </w:p>
    <w:p>
      <w:pPr>
        <w:rPr>
          <w:color w:val="FF0000"/>
          <w:sz w:val="32"/>
          <w:szCs w:val="32"/>
        </w:rPr>
      </w:pPr>
    </w:p>
    <w:sectPr>
      <w:pgSz w:w="11906" w:h="16838"/>
      <w:pgMar w:top="1440" w:right="991" w:bottom="1440" w:left="99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1" w:fontKey="{E6D5807C-72E8-4064-9871-0F8F8B7621CD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2" w:fontKey="{250E32B7-B210-4AC7-ABB9-B02EE4474685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  <w:embedRegular r:id="rId3" w:fontKey="{BFA72EFA-9B92-41A8-A288-5F4EDF3F2A6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hNThmNDBlZTFmYzBlZDM5MDkwOWI5Njk5MzQwMjUifQ=="/>
  </w:docVars>
  <w:rsids>
    <w:rsidRoot w:val="00B37D5A"/>
    <w:rsid w:val="00B37D5A"/>
    <w:rsid w:val="03D12862"/>
    <w:rsid w:val="31502C2A"/>
    <w:rsid w:val="57536377"/>
    <w:rsid w:val="5F5C7F1C"/>
    <w:rsid w:val="77B97A8E"/>
    <w:rsid w:val="7A221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1</Pages>
  <Words>183</Words>
  <Characters>206</Characters>
  <Lines>2</Lines>
  <Paragraphs>1</Paragraphs>
  <TotalTime>3</TotalTime>
  <ScaleCrop>false</ScaleCrop>
  <LinksUpToDate>false</LinksUpToDate>
  <CharactersWithSpaces>279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2022-07-04T02:27:00Z</dcterms:created>
  <dc:creator>Administrator</dc:creator>
  <cp:lastModifiedBy>Administrator</cp:lastModifiedBy>
  <dcterms:modified xsi:type="dcterms:W3CDTF">2022-11-19T02:13:40Z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46CBB8E3123644BFB11502EB39DC7321</vt:lpwstr>
  </property>
</Properties>
</file>